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Pseudomonas aeruginosa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Meradji; Samah/ Chettibi, Houria/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Pseudomonas aeruginosa/ facteurs de virulence/ Résistance aux antibiotiques/ </w:t>
            </w:r>
          </w:p>
        </w:tc>
      </w:tr>
    </w:tbl>
    <w:p>
      <w:pPr>
        <w:pStyle w:val="Heading3"/>
      </w:pPr>
      <w:r>
        <w:t>Résumé :</w:t>
      </w:r>
    </w:p>
    <w:p>
      <w:r>
        <w:t>Nous rapportons la première détection en 2015 de métallo-?-lactamase blaVIM-4 chez les souches de P. aeruginosa en Algérie. Nous avons également constaté que les mutations oprD étaient le principal mécanisme de la résistance à l'imipénème. Nous rapportant également la première détection du  gène de méthylase ARNr 16S, rmtB,  dans  une seule souche.Une analyse phénotypique des facteurs de virulence a montré qu'un pourcentage élevé de facteurs de virulence (86,6% de ces isolats ont pu produire la protéase; 73,3% des isolats produisaient une  DNase; et 66,6% ont été hémolysine positif).</w:t>
        <w:br/>
        <w:br/>
        <w:t>Tous les isolats étaient capables de former un biofilm. Une étude de la cinétique de la production de biofilm a révélé que la production de biofilm augmente lorsque la concentration de l'imipénème ou de la ciprofloxacine et le temps d'incubation a augmenté.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