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de l’oxyde de zinc non dopé et dopé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Ghomri; Riim/ Ghers, Mokhttar/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ZnO co-dopé/ la bande d'énergie/ Raman/ </w:t>
            </w:r>
          </w:p>
        </w:tc>
      </w:tr>
    </w:tbl>
    <w:p>
      <w:pPr>
        <w:pStyle w:val="Heading3"/>
      </w:pPr>
      <w:r>
        <w:t>Résumé :</w:t>
      </w:r>
    </w:p>
    <w:p>
      <w:r>
        <w:t>Afin d'améliorer ses propriétés photocatalytiques, les nanoparticules (NPs) pur et codopées (Zn, Er et Al) ont été synthétisées par méthode hydrothermale. Les diagrammes de diffraction des rayons X révèlent la formation d'une seule structure de type wurtzite ZnO.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