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Dépollution des déchets riches en matière organique (boues de station d'épuration et déchets d'abattoir)</w:t>
        <w:br/>
        <w:br/>
        <w:t>Par digestion anaérobie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Laskri; Nabila/ Mizi, Abdelkader/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dépollution des déchets riche/ station d'épuration/ </w:t>
            </w:r>
          </w:p>
        </w:tc>
      </w:tr>
    </w:tbl>
    <w:p>
      <w:pPr>
        <w:pStyle w:val="Heading3"/>
      </w:pPr>
      <w:r>
        <w:t>Résumé :</w:t>
      </w:r>
    </w:p>
    <w:p>
      <w:r>
        <w:t>L'objectif de cette étude est le traitement et la valorisation énergétique des déchets riches en matières organiques par la digestion anaérobie,  en vue de freiner les effets néfastes de la pollution et de produire une énergie verte qui est le biogaz. La plupart des déchets organiques contiennent une fraction élevée du substrat facilement dégradable, qui donne un rendement élevé de méthane.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