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relations sol-végétation de la chênaie d’Ouled Bechih (Souk-Ahras) « dynamique de la matière organique »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Samai; Ibtissem/ Universite badji  mokhtar/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sol/ souk-ahras/ -végétation/ conditions climatiques./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porte sur la mise en évidence des relations susceptibles d’exister entre les qualités édaphiques et la végétation dans une région exposée à une forte influence climatique, qui est la forêt d’Ouled Bechih, Souk-Ahras.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