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relations sol-végétation de la chênaie d’Ouled Bechih (Souk-Ahras) « dynamique de la matière organique »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Samai; Ibtissem/ Universite badji  mokhtar/ Benslama,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sol/ souk-ahras/ -végétation/ conditions climatiques./ </w:t>
            </w:r>
          </w:p>
        </w:tc>
      </w:tr>
    </w:tbl>
    <w:p>
      <w:pPr>
        <w:pStyle w:val="Heading3"/>
      </w:pPr>
      <w:r>
        <w:t>Résumé :</w:t>
      </w:r>
    </w:p>
    <w:p>
      <w:r>
        <w:t>Le but de ce travail porte sur la mise en évidence des relations susceptibles d’exister entre les qualités édaphiques et la végétation dans une région exposée à une forte influence climatique, qui est la forêt d’Ouled Bechih, Souk-Ahras.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