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défaut d'écaillage sur les cylindres de travail du train finisseur du laminoir à chaud arcelor -mittal-algérie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Bouguerra; Salouha/ Mebarek, Abdelmalek/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laminoir/ cylindre/ écaillage/ </w:t>
            </w:r>
          </w:p>
        </w:tc>
      </w:tr>
    </w:tbl>
    <w:p>
      <w:pPr>
        <w:pStyle w:val="Heading3"/>
      </w:pPr>
      <w:r>
        <w:t>Résumé :</w:t>
      </w:r>
    </w:p>
    <w:p>
      <w:r>
        <w:t>Le cylindre du laminoir subit une usure normale liée au frottement cylindre-bande. Cette usure est généralement ompensée  par une rectification.Le problème apparu au laminoir à chaud (ArcelorMittal-Algérie) est un écaillage sporadique des ylindres de travail du train finisseur (cages 5 et 6). Ce qui induit une surconsommation de ces derniers.L'objectif de ce travail onsiste à fixer les causes probables de cet écaillage accidentel et à y remédier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