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Espace habite entre appropriation et mutaion cas du logenment collectif 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Foufou; Sarra/ Boukhemis, Kaddour/ Universit Badji Mokhtarv/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transformations/ logement collectif/ typification/ habitants usager/ </w:t>
            </w:r>
          </w:p>
        </w:tc>
      </w:tr>
    </w:tbl>
    <w:p>
      <w:pPr>
        <w:pStyle w:val="Heading3"/>
      </w:pPr>
      <w:r>
        <w:t>Résumé :</w:t>
      </w:r>
    </w:p>
    <w:p>
      <w:r>
        <w:t>La notion du logement collectif typifié et standardisé ne peut pas être comprise sans une rétrospective sur sa genèse. Son histoire est liée à celle de la Révolution industrielle du 19éme siècle où les leaders de l'architecture moderne ont rejeté la diversité de la ville historique en proposant des prototypes de logements standardisés simplifiés et rationalisés afin d'offrir un logement « pour tous » adressé à un « homme nouveau » qui habiterait dans une « machine à habiter ».</w:t>
        <w:br/>
        <w:br/>
        <w:t>En Algérie, un nombre important de logements collectifs sous forme de tour et de barre a été construit dans le cadre du Plan de Constantine 1958 ; un modèle qui a été reconduit au lendemain de l’Indépendance pour répondre dans l’urgence aux besoins sans cesse croissants en matière de logements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