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qualité de l'énergie électrique produite par un système de conversion éolien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Tedjani/ Ouari, Ahmed/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filtre actif/ énergie éolienne/ msap/ mada/ batteries li ion/ </w:t>
            </w:r>
          </w:p>
        </w:tc>
      </w:tr>
    </w:tbl>
    <w:p>
      <w:pPr>
        <w:pStyle w:val="Heading3"/>
      </w:pPr>
      <w:r>
        <w:t>Résumé :</w:t>
      </w:r>
    </w:p>
    <w:p>
      <w:r>
        <w:t>La mise en œuvre d'une chaine de conversion de l'énergie éolienne nécessite une connaissance des moyens de production et de conversion de l'énergie. Deux structures, de la chaîne de conversion de l'énergie éolienne utilisant la machine asynchrone à double alimentation (MADA) pour deux modes de fonctionnement (connecté au réseau électrique et totalement isolée) ont été modélisées avec des lois de comportement fines.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