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appellation botanique des miels Algériens (cas des ruches langstroth)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Draiaia; Radia/ Chefrour, Azzedine/ </w:t>
            </w:r>
          </w:p>
        </w:tc>
      </w:tr>
      <w:tr>
        <w:trPr>
          <w:trHeight w:val="567"/>
        </w:trPr>
        <w:tc>
          <w:tcPr>
            <w:tcW w:type="dxa" w:w="3000"/>
          </w:tcPr>
          <w:p>
            <w:r>
              <w:t>Nombre de Pages</w:t>
            </w:r>
          </w:p>
        </w:tc>
        <w:tc>
          <w:tcPr>
            <w:tcW w:type="dxa" w:w="7000"/>
          </w:tcPr>
          <w:p>
            <w:r>
              <w:t>279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algérie/ qualité du miel/ analyse physico chimique/ melissopalynologie/ </w:t>
            </w:r>
          </w:p>
        </w:tc>
      </w:tr>
    </w:tbl>
    <w:p>
      <w:pPr>
        <w:pStyle w:val="Heading3"/>
      </w:pPr>
      <w:r>
        <w:t>Résumé :</w:t>
      </w:r>
    </w:p>
    <w:p>
      <w:r>
        <w:t>Cette recherche s’inscrit dans le cadre de la valorisation des miels en Algérie. L’étude a utilisé une approche pluridisciplinaire qui combine différentes spécialités: l’apiculture, la biochimie, la biologie végétale et l’écologie.</w:t>
        <w:br/>
        <w:br/>
        <w:t>Le choix du sujet est justifié aussi bien sur le plan économique que de santé publique. Dans les pays développés, la mise en marché du miel nécessite le passage obligatoire par l’expertise et le contrôle de la qualité afin d’obtenir le certificat de conformité aux normes du Codex. En Algérie, malgré la richesse floristique et le développement du créneau de la filière apicole, on assiste à l’absence du contrôle de la qualité et de la maîtrise du marché du miel.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