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profil de résistance de serratia marcescens aux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Batah; Rima/ Boutefnouchet, Nafissa/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serratia marcescen/ résistance a antibiotique/ blse/ </w:t>
            </w:r>
          </w:p>
        </w:tc>
      </w:tr>
    </w:tbl>
    <w:p>
      <w:pPr>
        <w:pStyle w:val="Heading3"/>
      </w:pPr>
      <w:r>
        <w:t>Résumé :</w:t>
      </w:r>
    </w:p>
    <w:p>
      <w:r>
        <w:t xml:space="preserve">L'augmentation et la dissémination de la résistance aux antibiotiques chez les bactéries à Gram-négatif, particulièrement les entérobactéries, représentent un problème majeur de santé publique au niveau mondial. </w:t>
        <w:br/>
        <w:br/>
        <w:t>Cette étude a pour objectifs d'étudier la résistance et le support génétique de la résistance aux antibiotiques de 54 souches de Serratia marcescens collectées de Décembre 2011 jusqu'au Aout 2013 visant des souches d'origine hospitalière et communautaire de l'Est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