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biochimique d'un extrait de Pistacia Lentiscus et détermination de ses effets sur certains paramètres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Merzougui; Imène/ Henchiri, Chérifa/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Huile/ profile lipidique/ pistacia lentiscus/ acides gras mono-insaturés/ </w:t>
            </w:r>
          </w:p>
        </w:tc>
      </w:tr>
    </w:tbl>
    <w:p>
      <w:pPr>
        <w:pStyle w:val="Heading3"/>
      </w:pPr>
      <w:r>
        <w:t>Résumé :</w:t>
      </w:r>
    </w:p>
    <w:p>
      <w:r>
        <w:t>Cette étude a permis de mettre en évidence  la composition en principes actifs des fruits de Pistacia lentiscus, les caractéristiques physico-chimiques et la composition en AG par GPG de l'huile extraite par méthode traditionnelle locale et d'évaluer son effet sur certains paramètres sanguins. Les résultats ont montré que le screening phytochimique a révélé l'existence de substances bioactives : Flavonoïdes, Tanins, stérol et terpènes, les principales caractéristiques physico-chimiques de l'huile de Pistacia lentiscus sont : l'humidité (0,84%),  un indice diode  relativement élevé (80,44) ce qui montre que cette huile a un degré d'insaturation important. L'huile est constituée principalement d'acides gras insaturés(AGMI) où domine l'acide oléique avec 47% des acides gras totaux et AGPI représenté par l'acide  linoléique (19,%)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