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Sensibilité bactérienne aux extraits bio-actifs de Pelargonium graveolens (Géranium rosat)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Atailia; Imane/ Universite Badji Mokhter/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composition chimique/ Pelargonium graveolen/ </w:t>
            </w:r>
          </w:p>
        </w:tc>
      </w:tr>
    </w:tbl>
    <w:p>
      <w:pPr>
        <w:pStyle w:val="Heading3"/>
      </w:pPr>
      <w:r>
        <w:t>Résumé :</w:t>
      </w:r>
    </w:p>
    <w:p>
      <w:r>
        <w:t>L'analyse par chromatographie gazeuse couplée à la spectrométrie de masse de l'huile essentielle des parties aériennes de Pelargonium graveolens, obtenue par hydrodistillation, a permis d'identifier 96.86% de ses constituants. Les composants majeurs sont : le citronellol  (19.22%), le géraniol (14.03%) et le formiate de citronellyle (10.02%). Les constituants de l'huile essentielle appartiennent essentiellement aux alcools monoterpéniques (38.85%), aux esters terpéniques (29.54%) et aux sesquiterpènes (14.97%).L'huile essentielle (HE) de Pelargonium graveolens est active sur 86.66% des souches bactériennes testées. Ces souches sont caractérisées par une importante résistance aux antibiotiques, en particulier les souches Enterococcus faecalis, Acinetobacter baumannii, Streptococcus agalactiae et Pseudomonas aeruginosa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