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Régénération sonolytique d'un charbon actif en grain saturé par un composé phénolique dans divers types de réacteur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Guilane; Sarah/ Hamdaoui, Oualid/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ultrason/ désorption/ régénération du charbon actif en grain/ 4 chlorophénol/ </w:t>
            </w:r>
          </w:p>
        </w:tc>
      </w:tr>
    </w:tbl>
    <w:p>
      <w:pPr>
        <w:pStyle w:val="Heading3"/>
      </w:pPr>
      <w:r>
        <w:t>Résumé :</w:t>
      </w:r>
    </w:p>
    <w:p>
      <w:r>
        <w:t>Dans l'objectif de développer un nouveau procédé de régénération du charbon actif, nous avons examiné la désorption du 4-chlorophénol (4-CP) du charbon actif en grain (CAG) par ultrasons de basse fréquence (20 kHz). L'étude est menée dans trois types de réacteur ultrasonore : fermé, en circuit fermé et continu. La désorption de 4-CP de la surface de l'adsorbant par sonication est due aux effets physiques des ultrasons et à la cavitation, qui donnent lieu à une forte convection dans le milieu à travers divers phénomènes physiques, qui sont des processus dynamiques à l'échelle microscopique.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