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dégradation du phénol en milieu aqueux en présence des HPA de type DAWSON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Balaska; Adel/ Samar, Mohamed El-Hadi/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hpa de type dawson/ catalyse homogène/ dégradation photocatalytique/ </w:t>
            </w:r>
          </w:p>
        </w:tc>
      </w:tr>
    </w:tbl>
    <w:p>
      <w:pPr>
        <w:pStyle w:val="Heading3"/>
      </w:pPr>
      <w:r>
        <w:t>Résumé :</w:t>
      </w:r>
    </w:p>
    <w:p>
      <w:r>
        <w:t>Ce travail porte sur l'utilisation des  hétéropolyacides (HPA) de type Dawson comme nouveaux catalyseurs pour la photodégradation des polluants organiques en milieu aqueux. En Effet, l'activité catalytique des HPA a été étudiée pour la photodégradation du phénol sous l'effet d'irradiation UV à 254 nm.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