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Surveillance et au Diagnostic des Défauts De la Machine Asynchrone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Kerfali; Samir/ Bouras, Slimane/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moteur à induction/ balourd, rupture de barres et portion d.anneau/ </w:t>
            </w:r>
          </w:p>
        </w:tc>
      </w:tr>
    </w:tbl>
    <w:p>
      <w:pPr>
        <w:pStyle w:val="Heading3"/>
      </w:pPr>
      <w:r>
        <w:t>Résumé :</w:t>
      </w:r>
    </w:p>
    <w:p>
      <w:r>
        <w:t>De par sa robustesse et son adaptation actuellement aux entraînements électriques à vitesse variable, le moteur à induction demeure le plus sollicité dans le milieu industriel. Cependant, dans les chaînes de production où il exerce un rôle stratégique, le maintien de la continuité de son fonctionnement non dégradé nécessite une attention particulière dans le cadre de sa surveillance, car une panne peut à tout moment surgir et causer de grandes pertes. Ce travail s'inscrit dans le concept de la surveillance et du diagnostic des défauts auxquels sont soumis fréquemment  les entraînements électromécaniques asynchrones,  à savoir, la machine asynchrone triphasée à rotor en court circuit et le réducteur mécanique qui lui est directement lié. Notre contribution  a pour thématique la détection de la  rupture de barres de la cage rotorique accompagnée de la cassure d'une portion de l'anneau de court circuit, du déséquilibre mécanique (ou balourd), du désalignement, de l'usure des dents d'engrenages et de certaines anomalies issues de leurs fusion.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