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L’autoadaptivité du filtre actif aux variations de charge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Benadja; Mounir/ Saad, Salah/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variations de charge/ L’Autoadaptivité/ </w:t>
            </w:r>
          </w:p>
        </w:tc>
      </w:tr>
    </w:tbl>
    <w:p>
      <w:pPr>
        <w:pStyle w:val="Heading3"/>
      </w:pPr>
      <w:r>
        <w:t>Résumé :</w:t>
      </w:r>
    </w:p>
    <w:p>
      <w:r>
        <w:t>Les travaux présentés dans cette thèse sont consacrés à la capacité d'adaptation du filtre actif à la variation de la charge non-linéaire raccordée au réseau électrique et son intégration dans les systèmes d'énergies renouvelables notamment l'énergie éolienne et  photovoltaïque toute en assurant l'alimentation continue de la charge non-linéaire et la bonne qualité d'énergie électrique. Pour atteindre cet objectif, des nouvelles stratégies de contrôle ont été développées  pour contrôler les filtres actifs à deux niveaux et PUC à sept niveaux et à la combinaison du contrôle sans capteur avec les commandes appliquées aux filtres actifs destinés pour le système éolien et photovoltaïque.Des techniques d'extraction de la puissance maximale de l'éolienne et du panneau photovoltaïque en temps réel ont été dévoilées.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