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systématique et bioécologique des lichens corticoles de différents phorophytes au niveau de la région d'El Kala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Boutabia; Lamia/ Belair, G/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phorophyte/ el kala/ lichens corticoles/ chorotype/ lichénosociologie/ </w:t>
            </w:r>
          </w:p>
        </w:tc>
      </w:tr>
    </w:tbl>
    <w:p>
      <w:pPr>
        <w:pStyle w:val="Heading3"/>
      </w:pPr>
      <w:r>
        <w:t>Résumé :</w:t>
      </w:r>
    </w:p>
    <w:p>
      <w:r>
        <w:t>L'étude menée dans la région d'El Kala relative à la flore lichénique corticole de cinq phorophytes: chêne-kermès, chêne-liège, chêne-zeen, olivier, et frêne s'est révélée fructueuse. Du point de vue lichénosystématique, avec 30 familles englobant 175 espèces répertoriées, nous pouvons dire que la région présente une diversité lichénique certaine en comparaison avec celle des autres pays méditerranéens.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