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Etude comparative de la composition en acides amines et en glucides de certains proteines allergenes alimentaires d' origine vegetale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Bouakkadia; Hayette/ Boutebba, Aissa/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704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Fig., tab.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Bibliogr.-Résumé en francais,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similarité/ identité/ légumineuse alimentaire/ identification de protéine allergène/ </w:t>
            </w:r>
          </w:p>
        </w:tc>
      </w:tr>
    </w:tbl>
    <w:p>
      <w:pPr>
        <w:pStyle w:val="Heading3"/>
      </w:pPr>
      <w:r>
        <w:t>Résumé :</w:t>
      </w:r>
    </w:p>
    <w:p>
      <w:r>
        <w:t>L'allergie alimentaire est une réaction immunitaire anormale à des molécules allergéniques présentent dans les aliments chez les personnes atopiques. Parmi les légumineuses impliquées dans cette pathologie, il y a l'arachide, le soja, le sésame et la lentille. Pour déterminer les protéines allergènes de ces denrées, il a été procédé à l'extraction ainsi qu'au fractionnement par électrophorèse monodimensionnelle et bidimensionnelle sur gel de polyacrylamide en sodium dodécysulfate, la révélation des immuno-empreintes puis l'analyse par spectrométrie de masse des substances protéiques recherchées. Les trophallergènes sont identifiés par interrogation des bases de données Swiss-Prot et NCBInr. Il a été réalisé l'isolement, la séparation, l'isoélectrofocalisation, l'électrophorèse monodimensionnelle et bidimensionnelle ainsi que la révélation des immuno-empreintes de la viciline de lentille, la glycinine et la B. conglycinine de soja.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