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maternels et postnataux de l' infection gestationnelle chez des rattes wistar diabétiques traitées à l' hespéridine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Tahraoui, Abdelkrim/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diabete/ stress oxydatif/ Hesperidine/ troubles comportementaux/ </w:t>
            </w:r>
          </w:p>
        </w:tc>
      </w:tr>
    </w:tbl>
    <w:p>
      <w:pPr>
        <w:pStyle w:val="Heading3"/>
      </w:pPr>
      <w:r>
        <w:t>Résumé :</w:t>
      </w:r>
    </w:p>
    <w:p>
      <w:r>
        <w:t>Notre problématique vise à évaluer les effets comportementaux de l'infection gestationnelle et de la combinaison diabète-infection chez des rattes gestantes et l'effet  protecteur d'un anti oxydant sur les altérations et les complications neurocomportementales. Le diabète a été induit par une seule injection intra péritonéale de streptozotocine (STZ) à une dose de 60 mg/Kg.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