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maternels et postnataux de l' infection gestationnelle chez des rattes wistar diabétiques traitées à l' hespéridine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stress oxydatif/ Hesperidine/ troubles comportementaux/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vise à évaluer les effets comportementaux de l'infection gestationnelle et de la combinaison diabète-infection chez des rattes gestantes et l'effet  protecteur d'un anti oxydant sur les altérations et les complications neurocomportementales. Le diabète a été induit par une seule injection intra péritonéale de streptozotocine (STZ) à une dose de 60 mg/Kg.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