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toxicité de composés pyréthrinoides utilisés en Algérie sur un modèle alternatif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Amamra; Rima/ Djebar, Med Réda/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biomarquers/ stress oxydatif/ cytotoxicité/ paramecium tetraurelia/ cyperméthrine/ deltaméthrine/ </w:t>
            </w:r>
          </w:p>
        </w:tc>
      </w:tr>
    </w:tbl>
    <w:p>
      <w:pPr>
        <w:pStyle w:val="Heading3"/>
      </w:pPr>
      <w:r>
        <w:t>Résumé :</w:t>
      </w:r>
    </w:p>
    <w:p>
      <w:r>
        <w:t>Les dommages oxydatifs via la  production accrue d'espèces réactives à l'oxygène (ROS) sont souvent rapportés dans la toxicité de plusieurs pesticides. Ainsi, dans notre travail nous nous intéressons aux effets cytotoxiques de deux pyréthrinoides de type II, la Cyperméthrine et la Deltaméthrine, sur un protozoaire d'eau douce, Paramecium tetraurelia.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