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Résilience des écosystèmes forestiers du nord-est algérien après incendie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Chouahda; Soumaya/ Benyacoub, Slim/ </w:t>
            </w:r>
          </w:p>
        </w:tc>
      </w:tr>
      <w:tr>
        <w:trPr>
          <w:trHeight w:val="567"/>
        </w:trPr>
        <w:tc>
          <w:tcPr>
            <w:tcW w:type="dxa" w:w="3000"/>
          </w:tcPr>
          <w:p>
            <w:r>
              <w:t>Nombre de Pages</w:t>
            </w:r>
          </w:p>
        </w:tc>
        <w:tc>
          <w:tcPr>
            <w:tcW w:type="dxa" w:w="7000"/>
          </w:tcPr>
          <w:p>
            <w:r>
              <w:t>114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2015</w:t>
            </w:r>
          </w:p>
        </w:tc>
      </w:tr>
      <w:tr>
        <w:trPr>
          <w:trHeight w:val="567"/>
        </w:trPr>
        <w:tc>
          <w:tcPr>
            <w:tcW w:type="dxa" w:w="3000"/>
          </w:tcPr>
          <w:p>
            <w:r>
              <w:t>Sujet(s)</w:t>
            </w:r>
          </w:p>
        </w:tc>
        <w:tc>
          <w:tcPr>
            <w:tcW w:type="dxa" w:w="7000"/>
          </w:tcPr>
          <w:p>
            <w:r>
              <w:t xml:space="preserve">résilience/ incendie/ régénération/ forêt méditerranéenne/ </w:t>
            </w:r>
          </w:p>
        </w:tc>
      </w:tr>
    </w:tbl>
    <w:p>
      <w:pPr>
        <w:pStyle w:val="Heading3"/>
      </w:pPr>
      <w:r>
        <w:t>Résumé :</w:t>
      </w:r>
    </w:p>
    <w:p>
      <w:r>
        <w:t>Dans la présente étude, nous nous sommes intéressés à la capacité de résilience de la subéraie du nord-est de la Numidie (cas des subéraie d'El Kala). Ce travail est divisé en trois parties. Premièrement, on analyse la structure et la composition de la subéraie en fonction de la fréquence des incendies et de leur périodicité.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