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écologique de l'avifaune aquatique d'une zone humide péri-urbaine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Boudraa; Wahiba/ Houhamdi, Moussa/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Zone humide urbaine/ avifaune aquatique/ statut phénologique/ </w:t>
            </w:r>
          </w:p>
        </w:tc>
      </w:tr>
    </w:tbl>
    <w:p>
      <w:pPr>
        <w:pStyle w:val="Heading3"/>
      </w:pPr>
      <w:r>
        <w:t>Résumé :</w:t>
      </w:r>
    </w:p>
    <w:p>
      <w:r>
        <w:t>Dans le but d'inventorier et de déterminer le statut phénologique des oiseaux aquatiques dans le Marais de Boussedra (55ha, Nord-est de l'Algérie), une étude étalée sur une année (de septembre 2013 à août 2014) a été réalisée. Au total, 53 espèces appartenant à 15 familles ont été observés. La famille la plus représentée est celle des Anatidés avec 12 espèces. Du point de vue effectif, les Foulques macroules Fulica atra (Rallidés) est l'espèce la plus représentée (568 individus). La période hivernale est plus diversifiée que la période de nidification. Les valeurs les plus élevées des indices écologiques indicateurs de l'équilibre des populations (indice de Shannon et Weaver et indice d'équitabilité) ont été enregistrées durant la période hivernale, H'= 3.406 pendant le mois de février et E= 0.699 pendant le mois de mars.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