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stress éco-physiologique par la pollution métallique chez la Mésange bleue (Cyanistes cruleus ultramarinus)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Benyagoub brahmia; Zahra/ Benyacoub, Slim/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algérie/ mésange bleue/ cadmium/ plomb/ </w:t>
            </w:r>
          </w:p>
        </w:tc>
      </w:tr>
    </w:tbl>
    <w:p>
      <w:pPr>
        <w:pStyle w:val="Heading3"/>
      </w:pPr>
      <w:r>
        <w:t>Résumé :</w:t>
      </w:r>
    </w:p>
    <w:p>
      <w:r>
        <w:t>L'hypothèse d'une contamination différentielle par les éléments trace métalliques (ETM), selon un degré d'artificialisation du milieu, d'un modèle biologique : la Mésange bleue ; nous a conduit à effectuer des mesures sur différentes variables de ses traits d'histoire de vie (THV). La reproduction, la morphométrie des femelles adultes, des œufs, des pulli ; soit une cinquantaine de variables ont fait l'objet de mesures précises et nombreuses sur 4 années d'étude (2005-2006-2007-2008), dans un habitat urbain (Annaba), un habitat périurbain (El-Hadjar) et un habitat forestier témoin (Parc National El-Kala). A cela, 48 dosages du plomb et du cadmium dans les organes et les phanères des femelles et des pulli ainsi que dans les œufs ont été effectués dans un laboratoire certifié en France. La présente étude vise à vérifier si la contamination métallique a une incidence sur la biologie de la reproduction de l'espèce, la croissance des pulli.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