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des vecteurs de borrélia sur des réservoirs animaux sauvages, domestiques et libres et cartographie des zones endémiques dans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Wassila/ Bitam, Idir/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ADN/ and polymérase/ nucléotide/ tampon/ </w:t>
            </w:r>
          </w:p>
        </w:tc>
      </w:tr>
    </w:tbl>
    <w:p>
      <w:pPr>
        <w:pStyle w:val="Heading3"/>
      </w:pPr>
      <w:r>
        <w:t>Résumé :</w:t>
      </w:r>
    </w:p>
    <w:p>
      <w:r>
        <w:t>Détection de bactéries pathogènes dans leur vecteur les tiques dures (Acarien : Ixodidae) .Les tiques sont des arthropodes hématophages impliqués dans la transmission de nombreux agents, bactériens, viraux, et protozoaires, pathogènes pour l'homme et l'animal. Les maladies à tiques sont potentiellement émergeantes.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