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 option européenne à barrière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Khodja; Nawel/ Remita, R./ </w:t>
            </w:r>
          </w:p>
        </w:tc>
      </w:tr>
      <w:tr>
        <w:trPr>
          <w:trHeight w:val="567"/>
        </w:trPr>
        <w:tc>
          <w:tcPr>
            <w:tcW w:type="dxa" w:w="3000"/>
          </w:tcPr>
          <w:p>
            <w:r>
              <w:t>Nombre de Pages</w:t>
            </w:r>
          </w:p>
        </w:tc>
        <w:tc>
          <w:tcPr>
            <w:tcW w:type="dxa" w:w="7000"/>
          </w:tcPr>
          <w:p>
            <w:r>
              <w:t>44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temps d'atteinte/ option européenne d'achat et de vente à barrière/ option européenne à barrière up et out/ </w:t>
            </w:r>
          </w:p>
        </w:tc>
      </w:tr>
    </w:tbl>
    <w:p>
      <w:pPr>
        <w:pStyle w:val="Heading3"/>
      </w:pPr>
      <w:r>
        <w:t>Résumé :</w:t>
      </w:r>
    </w:p>
    <w:p>
      <w:r>
        <w:t>Cette thèse est dédiée à l'étude des options européennes à barrière dans le cadre de  Black et Scholes  avec maturité déterministe ou aléatoire. Les options européennes à barrière auxquels, on s'est intéressés sont les options d'achats et de ventes de type up et out. Quand la maturité est déterministe, on fournit des formules fermées pour ces options et quand la maturité est aléatoire, on suppose qu'elle suit une distribution de Poisson. Dans ce cas, on fournit une expression explicite pour les options européenne à barrière, présentée sous forme d'une série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