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patrimonialisation des edifices publics neomauresque en algerie cas de l'hotel de ville de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Djeghar, aicha/ </w:t>
            </w:r>
          </w:p>
        </w:tc>
      </w:tr>
      <w:tr>
        <w:trPr>
          <w:trHeight w:val="567"/>
        </w:trPr>
        <w:tc>
          <w:tcPr>
            <w:tcW w:type="dxa" w:w="3000"/>
          </w:tcPr>
          <w:p>
            <w:r>
              <w:t>Nombre de Pages</w:t>
            </w:r>
          </w:p>
        </w:tc>
        <w:tc>
          <w:tcPr>
            <w:tcW w:type="dxa" w:w="7000"/>
          </w:tcPr>
          <w:p>
            <w:r>
              <w:t>330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reconnaissance/ édifices public/ style néomauresque/ évaluation patrimoniale/ </w:t>
            </w:r>
          </w:p>
        </w:tc>
      </w:tr>
    </w:tbl>
    <w:p>
      <w:pPr>
        <w:pStyle w:val="Heading3"/>
      </w:pPr>
      <w:r>
        <w:t>Résumé :</w:t>
      </w:r>
    </w:p>
    <w:p>
      <w:r>
        <w:t>La présente recherche porte sur la nécessité de reconnaissance des édifices publics néomauresques partie intégrante de la production architecturale du XXe siècle en Algérie.Bien que ce legs colonial, composante non négligeable du paysage urbain des villes algériennes véhicule une panoplie de valeurs patrimoniales (historique, architecturale, esthétique, identitaire, économique,…etc.), il n'occupe qu'une part infime des préoccupations des gestionnaires du patrimoine algérien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