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Hybrides Nanotubes de Carbone / Ferromagnétiques elaboration et Propriétés Magnétiques Statiques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Bounour - bouzamouche; Wafa/ Guerioune,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hybride/ arc electrique/ cobalt/ nanotube/ Nanofil/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hybrides à base de nanotubes de carbone remplis par des matériaux ferromagnétiques (NTC-FM) présentent un fort potentiel pour des applications en électronique de spin. Leurs propriétés magnétiques dépendent fortement de la qualité de leur synthèse : densité, orientation et efficacité de remplissage. Deux méthodes d'élaboration des (NTC-FM) ont été utilisées : i) synthèse ex-situ après ouverture mécanique des nanotubes élaborés par arc électrique et in-situ pendant la synthèse par arc électrique, ii) synthèse par dépôt vapeur chimique assisté par plasma (PECVD) en présence de catalyseurs Co et Co/Pd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