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thermodynamiques et thermiques des alliages quaternaires</w:t>
        <w:br/>
        <w:br/>
        <w:t>Zn1-xCdxSySe1-y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Bendif; Samira/ Meradji, Hocine/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circuit imprimé/ propriété structurale/ Zn1-xCdxSySe1-y/ </w:t>
            </w:r>
          </w:p>
        </w:tc>
      </w:tr>
    </w:tbl>
    <w:p>
      <w:pPr>
        <w:pStyle w:val="Heading3"/>
      </w:pPr>
      <w:r>
        <w:t>Résumé :</w:t>
      </w:r>
    </w:p>
    <w:p>
      <w:r>
        <w:t>Nous avons étudié les propriétés structurales, électroniques, thermiques et thermodynamiques des alliages ternaires et quaternaires Zn1-xCdxS1-ySey dans la structure zinc blende en utilisant la méthode des ondes planes augmentées (FP-LAPW) basée sur la théorie de la fonctionnelle de la densité DFT. Pour calculer les propriétés structurales, nous avons pris comme terme de potentiel d'échange et de corrélation les deux approximations du gradient généralisé, la PBE-GGA et la WC-GGA. D'autre part, pour calculer les propriétés électroniques de nos alliages, en plus des deux approximations WC-GGA et EV-GGA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