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Recherches sur la morphologie et la génétique du complexe atherina boyeri en méditerranée occidentale et biologie de l'espèce dans la lagune Mellah.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Boudinar; Ahmed Sofiane/ Chaoui, Lamya/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morphologie/ génétique/ biologie/ lagune Mellah/ atherina boyeri/ </w:t>
            </w:r>
          </w:p>
        </w:tc>
      </w:tr>
    </w:tbl>
    <w:p>
      <w:pPr>
        <w:pStyle w:val="Heading3"/>
      </w:pPr>
      <w:r>
        <w:t>Résumé :</w:t>
      </w:r>
    </w:p>
    <w:p>
      <w:r>
        <w:t>Cette étude est consacrée à l'étude d'Atherina boyeri de la lagune Mellah (Algérie Nord-Est), elle comporte trois parties.</w:t>
        <w:br/>
        <w:br/>
        <w:t xml:space="preserve">La premiére partie est une revue bibliographique sur la systématique, la distribution géographique, l'écologie et l'intérêt économique des espèces du genre Atherina en général, et celui d'Atherina boyeri en particulier.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