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automatique de la parole en milieu réel  bruité par fusion audiovisuelle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Makhlouf; Amina/ Bensaker, Bachir/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paramétrisation/ parole audiovisuelle/ lecture labiale/ modèle de markov cachés/ </w:t>
            </w:r>
          </w:p>
        </w:tc>
      </w:tr>
    </w:tbl>
    <w:p>
      <w:pPr>
        <w:pStyle w:val="Heading3"/>
      </w:pPr>
      <w:r>
        <w:t>Résumé :</w:t>
      </w:r>
    </w:p>
    <w:p>
      <w:r>
        <w:t>La présence de bruit de fond et des conditions variables (environnement, réverbération, types de microphones) peut affecter significativement la qualité de la reconnaissance automatique de la parole (RAP). Cette thèse présente un système de reconnaissance audiovisuelle de la parole qui est un domaine de recherche qui a connu un intérêt grandissant durant ces dernières années.  Notre contribution s'axe sur la vérification de ces deux conditions, c'est-à-dire la modélisation de la perception audiovisuelle de la parole en vue d'une implémentation logicielle, et de l'extraction des informations les plus pertinentes. Notre étude a été au centre d'une recherche pluridisciplinaire: de la psychologie cognitive aux techniques de traitement d'images couleurs, nous nous sommes investis dans le domaine de la paramétrisation des lèvres, le traitement du signal et la reconnaissance automatique des 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