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Renforcement des murs en maçonnerie non porteurs soumis à la compression. Etude des mortiers renforcés de différents taux de fibres de jute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Menadi; Souad/ Habita, Mohamed Fouzi/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fibres de jute/ composite cimentaire/ mortier fibré/ compatibilité chimique/ </w:t>
            </w:r>
          </w:p>
        </w:tc>
      </w:tr>
    </w:tbl>
    <w:p>
      <w:pPr>
        <w:pStyle w:val="Heading3"/>
      </w:pPr>
      <w:r>
        <w:t>Résumé :</w:t>
      </w:r>
    </w:p>
    <w:p>
      <w:r>
        <w:t xml:space="preserve">Les éléments de maçonnerie en Briques creuses de production locale permettent de réaliser pour la construction de bâtiments civils et industriels une importante solution socioéconomique, environnementale et architecturale. Cependant, la maçonnerie présente une importante vulnérabilité dans le remplissage des structures en portiques auto-stables en zones sismiques. Pour cela une étude du comportement en compression de murets en maçonnerie, de l'ordre de 1 m2 de surface a été réalisée. Cette thèse s'inscrit dans un contexte de formalisation d'une solution pour l'amélioration de la vulnérabilité de la maçonnerie sollicitée en compression.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