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physico-chimiques des poudres nanostructures à base de fer obtenues par broyage à haute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Zerniz; Nawal/ Bouchelaghem, W/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alliage fealcr/ matériaux nanostructurés/ diffraction des rayons x/ </w:t>
            </w:r>
          </w:p>
        </w:tc>
      </w:tr>
    </w:tbl>
    <w:p>
      <w:pPr>
        <w:pStyle w:val="Heading3"/>
      </w:pPr>
      <w:r>
        <w:t>Résumé :</w:t>
      </w:r>
    </w:p>
    <w:p>
      <w:r>
        <w:t xml:space="preserve">Les alliages basés sur les composés intermétalliques de type Fe-Al-Cr possèdent encore aujourd’hui une forte attractivité pour des applications industrielles, du fait de nombreuses propriétés intéressantes : tenue mécanique à relativement haute température, résistance à l’oxydation, faible coût d’élaboration. Cette étude porte sur L’élaboration des nanomatériaux lesquels les futures propriétés pourraient être contrôlées par la maîtrise de la microstructure. Nous avons choisi synthétiser les composés intermétalliques du système Fe78 Al20 Cr2 (% wt), par mécanosynthèse qui permet la formation des alliages avec une taille de grain dans le domaine nanométrique.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