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 laitier granulé d’Arcelor- Mittal (Algérie) pour l’adsorption d’un colorant cationique à partir d’une solution aqueuse en mode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 Radia/ Guerfi, Kamel/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colorant/ laitier granulé/ valorisation/ adsorption dynamique/ </w:t>
            </w:r>
          </w:p>
        </w:tc>
      </w:tr>
    </w:tbl>
    <w:p>
      <w:pPr>
        <w:pStyle w:val="Heading3"/>
      </w:pPr>
      <w:r>
        <w:t>Résumé :</w:t>
      </w:r>
    </w:p>
    <w:p>
      <w:r>
        <w:t xml:space="preserve">L'objectif principal de cette étude porte sur la valorisation du laitier granulé (LG) d'Arcelor-Mittal (Algérie) pour l'adsorption du bleu de méthylène (BM) à partir d'une solution aqueuse. Des essais en colonne à lit fixe ont été réalisés afin d'étudier l'effet de certains paramètres. Les résultats obtenus confirment que les temps de percée tb et de saturation te sont dépendants de ces facteurs. La capacité maximale d'adsorption du LG calculée à 50% de percée (q,exp= 0.296 mg.g-1) a été obtenue pour une hauteur de lit de 15 cm à un débit de 2 mL.min-1, une concentration initiale du BM de 10 mg.L-1 et à un pH 7.5.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