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écologiques et sanitaires de la prolifération massive des cyanobactéries toxiques sur la faune piscicole et la production aquacole dans le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Amina/ Nasri, Hichem/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anguilla anguilla/ cyanobactéries/ microcystines/ cyprinus carpio/ </w:t>
            </w:r>
          </w:p>
        </w:tc>
      </w:tr>
    </w:tbl>
    <w:p>
      <w:pPr>
        <w:pStyle w:val="Heading3"/>
      </w:pPr>
      <w:r>
        <w:t>Résumé :</w:t>
      </w:r>
    </w:p>
    <w:p>
      <w:r>
        <w:t>Depuis quelques années, l'eutrophisation croissante des rivières et des retenues se traduit par des phénomènes de proliférations d'algues de plus en plus préoccupantes du fait de multiples problèmes liés à la toxicité potentielle de certaines espèces phytoplanctoniques. C'est le cas de certaines espèces de cyanobactéries responsables de la production de diverses toxines (hépatotoxines et neurotoxines). Des études menées sur des barrages et des lacs naturels, notamment le lac Oubeïra et le barrage Cheffia (Est-Algérien), ont montré que ces milieux évoluent rapidement vers l'eutrophisation.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