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polluants d'origine industrielle sur le développement des champignons mycorhiziens à arbuscules, sur leur diversité et sur la viabilité microbienne des sols des agro-écosystèmes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Driai; Sihem/ Chekchaki ,Samir/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champignon mycorhizien à arbuscules/ pollution,diesel/ marqueurlipidique/ </w:t>
            </w:r>
          </w:p>
        </w:tc>
      </w:tr>
    </w:tbl>
    <w:p>
      <w:pPr>
        <w:pStyle w:val="Heading3"/>
      </w:pPr>
      <w:r>
        <w:t>Résumé :</w:t>
      </w:r>
    </w:p>
    <w:p>
      <w:r>
        <w:t>Les émissions de polluants toxiques d'origine industrielle dans l'environnement peuvent avoir un impact négatif à la fois sur la santé de l'homme mais aussi sur son environnement, en particulier, sur le microbiote du sol aussi bien en termes d'abondance, de richesse, que de biodiversité. Ce qui pourrait conduire à la dégradation des écosystèmes agricoles. Parmi les microorganismesbénéfiquesdusol,leschampignonsmycorhiziensàarbuscules(CMA)jouent un rôle majeur dans la nutrition minérale et hydrique ainsi que dans la protection des plantes contre divers stress environnementaux dont lapollution.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