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potentielle de 3 pesticides (Dithiocarbamates, Triazole et une mixture de Phenylpyrrole - Triazole) et leurs impacts sur un microorganisme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Djekoun; Meriem/ Université  Badji Mokhtar/ Berrebbah, Houria/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paramecium sp/ thirame/ tebuconazole/ fludioxonil/ difenoconazole/ </w:t>
            </w:r>
          </w:p>
        </w:tc>
      </w:tr>
    </w:tbl>
    <w:p>
      <w:pPr>
        <w:pStyle w:val="Heading3"/>
      </w:pPr>
      <w:r>
        <w:t>Résumé :</w:t>
      </w:r>
    </w:p>
    <w:p>
      <w:r>
        <w:t>La lutte chimique expose, inévitablement, les organismes " non cibles ". Des effets secondaires indésirables peuvent se manifester sur des espèces, des communautés voire des écosystèmes entiers.Le présent travail porte essentiellement sur l'évaluation de la toxicité potentielle de trois fongicides, le Thirame, le Tebuconazole et la combinaison Fludioxonil - Difenoconazole,  sur un organisme eucaryote unicellulaire, Paramecium sp. Parce que ce modèle d'exposition permet l'étude d'un large panel de paramètres biologiques, des bioessais ont été conduits afin d'évaluer le degré de sensibilité de cet organisme aux trois molécules testées et d'établir une relation entre la dose d'exposition et l'étendue des dommages au niveau cellulaire et subcellulaire.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