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défauts dans les machines synchrones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Bechkaoui; Amar/ Bouras, Slimane/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surveillance/ court-circuits statoriques/ machine synchrone à aimants permanents/ </w:t>
            </w:r>
          </w:p>
        </w:tc>
      </w:tr>
    </w:tbl>
    <w:p>
      <w:pPr>
        <w:pStyle w:val="Heading3"/>
      </w:pPr>
      <w:r>
        <w:t>Résumé :</w:t>
      </w:r>
    </w:p>
    <w:p>
      <w:r>
        <w:t>Les machines à aimants permanents (msap) ont connu ces dernières années un grand essor grâce à l'amélioration des qualités des aimants permanents (plus précisément à l'aide des métaux de terres rares), à l'électronique de puissance et à l'évolution des techniques de commande non linéaires. cette machine, pouvant fonctionner en générateur ou  en  moteur,  est  intégrée  dans  un  environnement  complet,  incluant  le  cas  échéant  une alimentation,  une  charge  mécanique  et  éventuellement  une  commande. ce travail de thèse traite du problème de surveillance en ligne de défaillances électriques dans les entrainements électriques à base de machines synchrones à aimants permanents par une méthode intelligente basée sur la logique floue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