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analyse du comportement mecanique des resrvoir petroliers algriens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Boutrid; Abdelaziz/ Universite Badji Mokhter/ Bensehamdi, salim/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contrainte/ roches réservoir/ comportement hydromécanique/ </w:t>
            </w:r>
          </w:p>
        </w:tc>
      </w:tr>
    </w:tbl>
    <w:p>
      <w:pPr>
        <w:pStyle w:val="Heading3"/>
      </w:pPr>
      <w:r>
        <w:t>Résumé :</w:t>
      </w:r>
    </w:p>
    <w:p>
      <w:r>
        <w:t>L’objectif de notre recherche est de montre le comportement mécanique du réservoir pétrolier et en particulier le changement de son état induit par leur exploitatioLa production d’un réservoir pétrolier provoque des changements de la répartition des contraintes et des pressions des fluides en place dans le champ. Un nouvel état de contrainte s’établit à chaque instant de production et provoque à son tour une modification des paramètres d’écoulement, les effets éomécaniques induits par la production d’un réservoir sont notamment susceptibles d’engendrer des changements significatifs de porosité et de perméabilité.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