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comportement hydromécanique des sols gonflants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Merah; Chafia/ Universite Badji Mokhter/ Madani, Sid/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Gonflement/ marne/ fluage/ viscoplasticité/ modèle de/ lemaitre/ </w:t>
            </w:r>
          </w:p>
        </w:tc>
      </w:tr>
    </w:tbl>
    <w:p>
      <w:pPr>
        <w:pStyle w:val="Heading3"/>
      </w:pPr>
      <w:r>
        <w:t>Résumé :</w:t>
      </w:r>
    </w:p>
    <w:p>
      <w:r>
        <w:t>La mise en contact des argiles et des marnes avec l'eau  et le changement de l'état de contraintes  entrainent des déformations irréversibles qui jouent un rôle très important  dans le comportement   différé des ouvrages creusés dans ces terrains.Plusieurs travaux de recherche se sont intéressés au gonflement et fluage et ont souvent été controversés à cause de la complexité des phénomènes impliqués.La durée d'exploitation des ouvrages  miniers et de génie civil est importante, c'est pourquoi pour de tels projets la prise en compte du temps devient impérative et la prévision des déformations irréversibles est indispensable pour assurer leur pérennité et leur sûreté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