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dechets urbains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Cheniti; Hamza/ Universite Badji Mokhter/ Serradji, s/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valorisation/ la gestion des déchets urbain/ déchets ménager/ </w:t>
            </w:r>
          </w:p>
        </w:tc>
      </w:tr>
    </w:tbl>
    <w:p>
      <w:pPr>
        <w:pStyle w:val="Heading3"/>
      </w:pPr>
      <w:r>
        <w:t>Résumé :</w:t>
      </w:r>
    </w:p>
    <w:p>
      <w:r>
        <w:t>Le présent travail porte sur la caractérisation physique des déchets ménagers. Elle se base sur un tocoled’échantillonnage adéquat pour le prélèvement des échantillons. Une quantité de 90 à 120 kg a été triée pour haque type d’habitat de la ville, selon 11 composantes des déchets ménagers durant les quatre saisons de l’année 2011. Les résultats de térisation de ces compagnes montrent des variations selon la saison et le type d’habitat pour toutes les composantes, notamment la matière organique, le plastique, le verre et le métal. Aussi, la pesée des échantillons pour les quatre saisons a montré que le ratio de production par habitant varie lui aussi selon la saison et le type d’habitat. Toutefois, le plus grand ratio a été enregistré pour le type d’habitat individuel promotionnel, et le petit pour les deux types d’habitats (la vieille ville et l’illicite). L’estimation des composantes valorisables par compostage et par recyclage parsecteur administratif a révélé des quantités considérables, cependant le secteur 3 génère quotidiennement plus de échets que le reste des secteurs avec 40,25 T/j dont 19,84 T/j fermentescible, 12,27 T/j recyclable et 8,12 T/j représente la quantité qui peut être mise en décharge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