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et unicité de la solution d'une équation diffentielle fractionnaire impulsive de temps infini dans espace de banach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Medjekal; Hamza/ Mazouzi, Said/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calcul fractionnaire/ conditions impulsive/ </w:t>
            </w:r>
          </w:p>
        </w:tc>
      </w:tr>
    </w:tbl>
    <w:p>
      <w:pPr>
        <w:pStyle w:val="Heading3"/>
      </w:pPr>
      <w:r>
        <w:t>Résumé :</w:t>
      </w:r>
    </w:p>
    <w:p>
      <w:r>
        <w:t>Les équations différentielles fractionnaires (EDFs) apparaissent naturellement dans différents domaines scientifiques comme la physique, l'ingénierie, la médicine, l'électrochimie, la théorie du contrôle, etc. L'efficacité de ces équations dans la modélisation de plusieurs phénomènes du monde réel a motivé beaucoup de chercheurs à étudier leurs aspects quantitatifs et qualitatifs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