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labridae des côtes est d'algérie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Boughamou; Naima/ Derbal, Farid/ Universite Badji Mokhter/ </w:t>
            </w:r>
          </w:p>
        </w:tc>
      </w:tr>
      <w:tr>
        <w:trPr>
          <w:trHeight w:val="567"/>
        </w:trPr>
        <w:tc>
          <w:tcPr>
            <w:tcW w:type="dxa" w:w="3000"/>
          </w:tcPr>
          <w:p>
            <w:r>
              <w:t>Nombre de Pages</w:t>
            </w:r>
          </w:p>
        </w:tc>
        <w:tc>
          <w:tcPr>
            <w:tcW w:type="dxa" w:w="7000"/>
          </w:tcPr>
          <w:p>
            <w:r>
              <w:t>223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écologie/ biologie/ méditerranée/ symphodus tinca/ </w:t>
            </w:r>
          </w:p>
        </w:tc>
      </w:tr>
    </w:tbl>
    <w:p>
      <w:pPr>
        <w:pStyle w:val="Heading3"/>
      </w:pPr>
      <w:r>
        <w:t>Résumé :</w:t>
      </w:r>
    </w:p>
    <w:p>
      <w:r>
        <w:t>Cette étude est consacrée à l'écologie et la biologie des Labridae (ostéichtyens, perciformes) des côtes est de l'Algérie. Sur un cycle annuel de janvier à décembre 2011, nous avons échantillonné un total de 964 individus de la famille de Labridae rattachés à 5 genres différents (Coris, Labrus, Symphodus, Xyrichthys, et Thalassoma) et 12 espèces (C. julis, L. merula, L. viridis, L. mixtus, S. mediterraneus, S. melops, S. ocellatus, S. roissali, S. cinereus, S. tinca, T. pavo et X. novacula). Le genre Symphodus domine avec environ 75% de la quantité échantillonnée. La morphologie de Symphodus tinca est caractérisée par quinze critères métriques et huit caractères méristiques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