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tabagisme sur la sensibilite la sensiblite de systeme neuro_ immuno_ corticotrope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Chettoum; Aziez/ Universite Badji Mokhter/ Frih, Hacène/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La nicotine/ tabagisme/ toxicomanie/ Test Fagerstrom/ HADS test/ </w:t>
            </w:r>
          </w:p>
        </w:tc>
      </w:tr>
    </w:tbl>
    <w:p>
      <w:pPr>
        <w:pStyle w:val="Heading3"/>
      </w:pPr>
      <w:r>
        <w:t>Résumé :</w:t>
      </w:r>
    </w:p>
    <w:p>
      <w:r>
        <w:t>Le but de notre étude était d'examiner la relation causale entre le tabagisme et les troubles de l'humeur (dépression, anxiété) et spécialement le sens d'influence l'un sur l'autre, afin d'analyser le lien entre le degré de dépendance à la nicotine et les niveaux  anxio - dépressif. Et de déterminer la classe à haut risque de développer une dépression et / ou de l'anxiété en fonction de l'âge d'initiation au tabac (début de consommation du tabac à un âge enfantin ((Enf): [5-11] ans,) ou à l'âge adolescence ((Ads): [12-17] ans) et à l'âge adulte ((Adt): [18- et plus] 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