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effets des nouveaux raticides sur quelques paramètres physiologiques chez les animaux de laboratoire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Maamar; Hichem/ Universite Badji Mokhter/ Mallem, Leila/ </w:t>
            </w:r>
          </w:p>
        </w:tc>
      </w:tr>
      <w:tr>
        <w:trPr>
          <w:trHeight w:val="567"/>
        </w:trPr>
        <w:tc>
          <w:tcPr>
            <w:tcW w:type="dxa" w:w="3000"/>
          </w:tcPr>
          <w:p>
            <w:r>
              <w:t>Nombre de Pages</w:t>
            </w:r>
          </w:p>
        </w:tc>
        <w:tc>
          <w:tcPr>
            <w:tcW w:type="dxa" w:w="7000"/>
          </w:tcPr>
          <w:p>
            <w:r>
              <w:t>166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 Résumé en français englais arabe</w:t>
            </w:r>
          </w:p>
        </w:tc>
      </w:tr>
      <w:tr>
        <w:trPr>
          <w:trHeight w:val="567"/>
        </w:trPr>
        <w:tc>
          <w:tcPr>
            <w:tcW w:type="dxa" w:w="3000"/>
          </w:tcPr>
          <w:p>
            <w:r>
              <w:t>Diplôme</w:t>
            </w:r>
          </w:p>
        </w:tc>
        <w:tc>
          <w:tcPr>
            <w:tcW w:type="dxa" w:w="7000"/>
          </w:tcPr>
          <w:p>
            <w:r>
              <w:t>Doctorat LMD</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reproduction/ lapin/ hématologie/ raticide anticoagulant/ brodifacoum/ </w:t>
            </w:r>
          </w:p>
        </w:tc>
      </w:tr>
    </w:tbl>
    <w:p>
      <w:pPr>
        <w:pStyle w:val="Heading3"/>
      </w:pPr>
      <w:r>
        <w:t>Résumé :</w:t>
      </w:r>
    </w:p>
    <w:p>
      <w:r>
        <w:t>Les raticides anticoagulants sont le groupe de pesticides le plus utilisé pour le contrôle des rongeurs. Actuellement, ils sont représentés par la deuxième génération notamment le Brodifacoum qui est le raticide le plus utilisé, et donc responsable de nombreux accidents chez les humains et les animaux non-cibles. Cette étude vise à évaluer les effets toxiques du difacoum chez le lapin mâle.Nous avons utilisé 28 lapins mâles (Cuniculus lepus) divisés en 4 groupes sept pins/chaque groupe. Le groupe 1 (G1) a servi de témoin, les groupes 2, 3 et 4 (G2, G3 et G4) ont été traités par le Brodifacoum à raison de 0,01, 0,02 et 0,04 mg/kg /j respectivement pendant 03 semaines.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