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rapide des protéines par turbidimétrie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Soraya; Boumaza/ Universite Badji Mokhter/ Hazourli, Sabir/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protéine/ automatisation/ Extrapolation/ , Turbidité/ coût/ </w:t>
            </w:r>
          </w:p>
        </w:tc>
      </w:tr>
    </w:tbl>
    <w:p>
      <w:pPr>
        <w:pStyle w:val="Heading3"/>
      </w:pPr>
      <w:r>
        <w:t>Résumé :</w:t>
      </w:r>
    </w:p>
    <w:p>
      <w:r>
        <w:t xml:space="preserve">Cette étude fournit une méthode turbidimétrique, reconnue d'évaluation rapide et précise, de la dispersion de flux de protéines contenus dans des effluents agro-alimentaires, avant et après un traitement de clarification parélectrocoagulation (EC) en continu. Les effluents étudiés sont ceux de laiterie, d'abattoir et de céréales. Les principaux objectifs visés par cette étude sont : l'existence et la variabilité de la corrélation entre la turbidité et les protéines afin de mettre en œuvre la mesure en continu et in situ de la turbidité en vue d'estimer par extrapolation, les concentrations en protéines. </w:t>
        <w:br/>
        <w:br/>
        <w:t>Les résultats ont pu mettre en évidence une extrapolation possible entre ces deux paramètres mais dans les limites de concentrations testées; les coefficients de corrélation trouvés sont de 0,96, 0,94 et 0,74 pour les eaux de laiterie, d'abattoir et de céréale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