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atmosphérique et trafic routier à Annaba, ?valuation de la toxicité à l'échelle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Terfaya; Moncef/ Djebar, Mohamed Reda/ Universite Badji Mokhter/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cd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blé/ pollution atmosphérique/ santé/ </w:t>
            </w:r>
          </w:p>
        </w:tc>
      </w:tr>
    </w:tbl>
    <w:p>
      <w:pPr>
        <w:pStyle w:val="Heading3"/>
      </w:pPr>
      <w:r>
        <w:t>Résumé :</w:t>
      </w:r>
    </w:p>
    <w:p>
      <w:r>
        <w:t>Ce travail nous a permis d'étudier la distribution de deux polluants NOx et NO2 au niveau de la wilaya de Annaba en tenant compte, de tous les paramètres intervenants dans ce type de pollution. Les résultats obtenus montrent que l'axe routier le plus important est représenté par Annaba, El Bouni et Sidi Amar; cette étude montre que la température, le nombre des véhicules et les taux des polluants générés par  le parc roulant sont responsables de l'augmentation d'hospitalisation et de la mortalité  (pathologies cardiovasculaires et respiratoires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