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L'intellligence ambiante et les systemes de transport intelligents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Ahmed Malek, Nada/ Dib, Lynda/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 tabll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Intelligence Ambiante (AmI)/ Infrastructure vers véhicule (I2V)/ Système de transport Intelligent (STI)/ </w:t>
            </w:r>
          </w:p>
        </w:tc>
      </w:tr>
    </w:tbl>
    <w:p>
      <w:pPr>
        <w:pStyle w:val="Heading3"/>
      </w:pPr>
      <w:r>
        <w:t>Résumé :</w:t>
      </w:r>
    </w:p>
    <w:p>
      <w:r>
        <w:t>De nos jours, les véhicules modernes sont équipés de limiteurs de vitesse intelligents. Beaucoup d'entreeux présentent des faiblesses telles que: communication indirecte, contraintes de proximité, obstacles, mises à jour de bases de données ou coût élevé de l'estimation du trajet etc. Notre travail prend en compte ces insuffisances en proposant un système de communication Infrastructure vers Véhicule, temps réel et disponible à tout moment. Cette dernière est basée sur le codage de la signalisation sous forme d'ondes radio. Nous avons réalisé un simulateur en Java, appliqué à un exemple tiré du monde réel pour appuyer nos propos. Une comparaison a été faite avec plusieurs systèmes similaires existants, faisant ressortir des horizons prometteurs dans le domaine de l'intelligence ambiante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