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une revalorisation des places dans la vieille ville de constantine cas de laplace sidi djeliss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Koreichi; Choubeila Rokaya/ Universite Badji Mokhter/ Khadidja, Boufenara/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place publique/ revalorisation/ valeurs socioculturelle et économique/ </w:t>
            </w:r>
          </w:p>
        </w:tc>
      </w:tr>
    </w:tbl>
    <w:p>
      <w:pPr>
        <w:pStyle w:val="Heading3"/>
      </w:pPr>
      <w:r>
        <w:t>Résumé :</w:t>
      </w:r>
    </w:p>
    <w:p>
      <w:r>
        <w:t>La place publique perd son sens occidental dans l'urbanisme musulman. On la trouve sous différentes formes et différents noms. Qu'elle soit héritée des civilisations précédentes ou née d'un pur hasard, la place publique garde son rôle économique, social, culturel et spirituel.Dans le centre historique de Constantine, la " place publique " n'a de sens que par son fonctionnement qui joue le rôle de distribution des activités commerciales et d'orientation de l'espace public. Le centre historique de Constantine a fait l'objet de politique de réglementation pour aboutir à une revalorisation des espaces publics et les espaces bâtis. La place Sidi Djeliss, de moindre importance, permet l'articulation simple de deux voies et ne renferme aucune fonction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