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Synthèse, réactivité et evaluation de l'Activité Biologique d'Hétérocycles Azotés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Amira; Aicha/ Universite Badji Mokhter/ Aouf, Nour-Eddine/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cyclosulfamide/ moutarde à l'azote/ acylation/ oxazaphospholidin-2-one/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la première partie est de concevoir de nouvelles structures de moutardes à l'azote à motifs hétérocycliques azotés. Nous nous sommes intéressés dans un premier temps à la synthèse de nouveaux dérivés soufrés de 1,2,5-thiadiazolidine 1,1-dioxydes N,N'- disubstitués en cinq étapes (réduction, carbamoylation-sulfamoyaltion, cyclisation via la réaction de Mitsunobu et acylation) où nous avons diversifié la nature des acides aminés impliqués au départ. L'étude biologique de certains composés synthétisés a montré une activité antibactérienne encourageante vis-à-vis des souches bactériennes variées. L'étude d'aminolyse du groupement éthoxy des composés hétérocycliques avec la bis-(2-chloroéthyl)amine a mis en évidence de nouvelles structures inattendues de type moutarde à l'azote.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