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réactivité des groupements protecteurset synthèse, réactivité, étude structurale et évaluation biologique des hétérocycles azotés et phosphorylés à visée anticancéreuse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Ktir; Hacène/ Universite Badj Mokhtér/ Aouf, Nour-Eddine/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protection/ fonction hydroxyle/ chimie verte/ groupement protecteur/ </w:t>
            </w:r>
          </w:p>
        </w:tc>
      </w:tr>
    </w:tbl>
    <w:p>
      <w:pPr>
        <w:pStyle w:val="Heading3"/>
      </w:pPr>
      <w:r>
        <w:t>Résumé :</w:t>
      </w:r>
    </w:p>
    <w:p>
      <w:r>
        <w:t>Cest dans ce cadre que s’inscrit ce travail, où nous avons mis enévidence une recherche bibliographique dans la première partie sur lesdifférentes méthodes de la O-tert-tyloxycarbonylation de diversesstructures d’hydroxyles. Cette étude bibliographique nous a permis dedévelopper deux techniques vertes de la O-tert-butyloxycarbonylation dansun milieu exempt de solvants et de catalyseur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