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ab-intio des différentes propriétés structurales, électroniques, optiques et thermiques des composés ternaires (CaLiF3 et SrLiF3) par la méthode FP-LAPW.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Chouit; Nassima/ Universite Badji Mkhter/ Amara korba, Sabiha/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théorie de la fonctionnelle de densité/ calculs ab initio/ </w:t>
            </w:r>
          </w:p>
        </w:tc>
      </w:tr>
    </w:tbl>
    <w:p>
      <w:pPr>
        <w:pStyle w:val="Heading3"/>
      </w:pPr>
      <w:r>
        <w:t>Résumé :</w:t>
      </w:r>
    </w:p>
    <w:p>
      <w:r>
        <w:t>La structure électronique de système (Ca.Sr) LiF3 est fondamentalement intéressante et technologiquement importante. Avec le code de simulation WIEN2k, nous avons effectué des calculs ab-initio de propriétés électroniques de ِCaLiF3 et SrLiF3 en utilisant la théorie de la fonctionnelle de la densité (DFT) dans une base d'ondes plans augmentées et linéarisées (FPLAPW) dans l'approximation de LDA et GGA. Les paramètres de maille, les modules de compressibilité, les densités d'états et les structures des bandes d'énergie dans ces composés ont ainsi été déterminés. Les résultats obtenus sont en accord avec les résultats théoriques disponibles.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